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GENDER AND AGE PREDICT HYPORESPONSIVENESS TO CLOPIDOGREL BY PLATELET FUNCTION TESTING IN EMERENCY DEPARTMENT </w:t>
      </w:r>
    </w:p>
    <w:p w:rsidR="003D3E53" w:rsidRDefault="000145D6">
      <w:pPr>
        <w:widowControl w:val="0"/>
        <w:autoSpaceDE w:val="0"/>
        <w:autoSpaceDN w:val="0"/>
        <w:adjustRightInd w:val="0"/>
      </w:pPr>
      <w:bookmarkStart w:id="0" w:name="_GoBack"/>
      <w:r w:rsidRPr="003D3E53">
        <w:rPr>
          <w:b/>
          <w:bCs/>
          <w:u w:val="single"/>
        </w:rPr>
        <w:t>H.K. Reddy</w:t>
      </w:r>
      <w:r w:rsidR="003D3E53" w:rsidRPr="003D3E53">
        <w:rPr>
          <w:b/>
          <w:bCs/>
          <w:u w:val="single"/>
          <w:vertAlign w:val="superscript"/>
        </w:rPr>
        <w:t>1</w:t>
      </w:r>
      <w:bookmarkEnd w:id="0"/>
      <w:r w:rsidR="00B921ED">
        <w:t>, R</w:t>
      </w:r>
      <w:r>
        <w:t>.</w:t>
      </w:r>
      <w:r w:rsidR="00B921ED">
        <w:t xml:space="preserve"> Sharma</w:t>
      </w:r>
      <w:r w:rsidR="003D3E53" w:rsidRPr="003D3E53">
        <w:rPr>
          <w:vertAlign w:val="superscript"/>
        </w:rPr>
        <w:t>2</w:t>
      </w:r>
      <w:r w:rsidR="00B921ED">
        <w:t>, S</w:t>
      </w:r>
      <w:r>
        <w:t>.</w:t>
      </w:r>
      <w:r w:rsidR="00B921ED">
        <w:t>W</w:t>
      </w:r>
      <w:r>
        <w:t>.</w:t>
      </w:r>
      <w:r w:rsidR="00B921ED">
        <w:t xml:space="preserve"> Erickson</w:t>
      </w:r>
      <w:r w:rsidR="003D3E53" w:rsidRPr="003D3E53">
        <w:rPr>
          <w:vertAlign w:val="superscript"/>
        </w:rPr>
        <w:t>1</w:t>
      </w:r>
      <w:r w:rsidR="00B921ED">
        <w:t>, D</w:t>
      </w:r>
      <w:r>
        <w:t>.</w:t>
      </w:r>
      <w:r w:rsidR="00B921ED">
        <w:t>J</w:t>
      </w:r>
      <w:r>
        <w:t>.</w:t>
      </w:r>
      <w:r w:rsidR="00B921ED">
        <w:t xml:space="preserve"> Voelker</w:t>
      </w:r>
      <w:r w:rsidR="003D3E53" w:rsidRPr="003D3E53">
        <w:rPr>
          <w:vertAlign w:val="superscript"/>
        </w:rPr>
        <w:t>1</w:t>
      </w:r>
      <w:r w:rsidR="00B921ED">
        <w:t>, M</w:t>
      </w:r>
      <w:r>
        <w:t>.</w:t>
      </w:r>
      <w:r w:rsidR="00B921ED">
        <w:t xml:space="preserve"> Moazazi</w:t>
      </w:r>
      <w:r w:rsidR="003D3E53" w:rsidRPr="003D3E53">
        <w:rPr>
          <w:vertAlign w:val="superscript"/>
        </w:rPr>
        <w:t>1</w:t>
      </w:r>
      <w:r w:rsidR="00B921ED">
        <w:t>, H</w:t>
      </w:r>
      <w:r>
        <w:t>.</w:t>
      </w:r>
      <w:r w:rsidR="00B921ED">
        <w:t xml:space="preserve"> Dod</w:t>
      </w:r>
      <w:r w:rsidR="003D3E53" w:rsidRPr="003D3E53">
        <w:rPr>
          <w:vertAlign w:val="superscript"/>
        </w:rPr>
        <w:t>2</w:t>
      </w:r>
      <w:r w:rsidR="00B921ED">
        <w:t xml:space="preserve">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V</w:t>
      </w:r>
      <w:r w:rsidR="000145D6">
        <w:t>.</w:t>
      </w:r>
      <w:r>
        <w:t>N</w:t>
      </w:r>
      <w:r w:rsidR="000145D6">
        <w:t>.</w:t>
      </w:r>
      <w:r>
        <w:t xml:space="preserve"> Singh</w:t>
      </w:r>
      <w:r w:rsidR="003D3E53" w:rsidRPr="003D3E53">
        <w:rPr>
          <w:vertAlign w:val="superscript"/>
        </w:rPr>
        <w:t>1</w:t>
      </w:r>
      <w:r>
        <w:t>, J</w:t>
      </w:r>
      <w:r w:rsidR="000145D6">
        <w:t>.</w:t>
      </w:r>
      <w:r>
        <w:t>D</w:t>
      </w:r>
      <w:r w:rsidR="000145D6">
        <w:t>.</w:t>
      </w:r>
      <w:r>
        <w:t xml:space="preserve"> Marsh</w:t>
      </w:r>
      <w:r w:rsidR="003D3E53" w:rsidRPr="003D3E53">
        <w:rPr>
          <w:vertAlign w:val="superscript"/>
        </w:rPr>
        <w:t>1</w:t>
      </w:r>
      <w:r>
        <w:t>, R</w:t>
      </w:r>
      <w:r w:rsidR="000145D6">
        <w:t>.</w:t>
      </w:r>
      <w:r>
        <w:t>K</w:t>
      </w:r>
      <w:r w:rsidR="000145D6">
        <w:t>.</w:t>
      </w:r>
      <w:r>
        <w:t xml:space="preserve"> Sharma</w:t>
      </w:r>
      <w:r w:rsidR="003D3E53" w:rsidRPr="003D3E53">
        <w:rPr>
          <w:vertAlign w:val="superscript"/>
        </w:rPr>
        <w:t>1</w:t>
      </w:r>
    </w:p>
    <w:p w:rsidR="00B921ED" w:rsidRDefault="003D3E53" w:rsidP="003D3E53">
      <w:pPr>
        <w:widowControl w:val="0"/>
        <w:autoSpaceDE w:val="0"/>
        <w:autoSpaceDN w:val="0"/>
        <w:adjustRightInd w:val="0"/>
        <w:rPr>
          <w:color w:val="503820"/>
        </w:rPr>
      </w:pPr>
      <w:r w:rsidRPr="003D3E53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University of Arkansas for Medical Sciences, Little Rock, AR, </w:t>
      </w:r>
      <w:r w:rsidRPr="003D3E53">
        <w:rPr>
          <w:color w:val="000000"/>
          <w:vertAlign w:val="superscript"/>
        </w:rPr>
        <w:t>2</w:t>
      </w:r>
      <w:r w:rsidR="00B921ED">
        <w:rPr>
          <w:color w:val="000000"/>
        </w:rPr>
        <w:t xml:space="preserve">Medical Center of South Arkansas, UAMS, El Dorado, </w:t>
      </w:r>
      <w:r w:rsidRPr="003D3E53">
        <w:rPr>
          <w:color w:val="000000"/>
          <w:vertAlign w:val="superscript"/>
        </w:rPr>
        <w:t>3</w:t>
      </w:r>
      <w:r w:rsidR="00B921ED">
        <w:rPr>
          <w:color w:val="000000"/>
        </w:rPr>
        <w:t>Univer</w:t>
      </w:r>
      <w:r>
        <w:rPr>
          <w:color w:val="000000"/>
        </w:rPr>
        <w:t>sity of South Florida, Tampa, FL</w:t>
      </w:r>
      <w:r w:rsidR="00B921ED">
        <w:rPr>
          <w:color w:val="000000"/>
        </w:rPr>
        <w:t>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0145D6" w:rsidRDefault="00B921ED">
      <w:pPr>
        <w:widowControl w:val="0"/>
        <w:autoSpaceDE w:val="0"/>
        <w:autoSpaceDN w:val="0"/>
        <w:adjustRightInd w:val="0"/>
        <w:jc w:val="both"/>
      </w:pPr>
      <w:r>
        <w:t>Background:</w:t>
      </w:r>
      <w:r w:rsidR="000145D6">
        <w:t xml:space="preserve"> </w:t>
      </w:r>
      <w:r>
        <w:t xml:space="preserve">Sub-optimal platelet inhibition is seen in more than 30% of patients after coronary artery stenting.  </w:t>
      </w:r>
      <w:proofErr w:type="spellStart"/>
      <w:r>
        <w:t>Hyporesponsiveness</w:t>
      </w:r>
      <w:proofErr w:type="spellEnd"/>
      <w:r>
        <w:t xml:space="preserve"> may be secondary to many variables such as age, sex, race, compliance, comorbid conditions, and genetic polymorphisms.</w:t>
      </w:r>
      <w:r w:rsidR="000145D6">
        <w:t xml:space="preserve"> </w:t>
      </w:r>
      <w:r>
        <w:t xml:space="preserve">The objective of our study was to evaluate the risk of </w:t>
      </w:r>
      <w:proofErr w:type="spellStart"/>
      <w:r>
        <w:t>hyporesponsiveness</w:t>
      </w:r>
      <w:proofErr w:type="spellEnd"/>
      <w:r>
        <w:t xml:space="preserve"> to </w:t>
      </w:r>
      <w:proofErr w:type="spellStart"/>
      <w:r>
        <w:t>clopidogrel</w:t>
      </w:r>
      <w:proofErr w:type="spellEnd"/>
      <w:r>
        <w:t xml:space="preserve"> based on age and gender in patients presenting to an emergency room with chest pain.</w:t>
      </w:r>
    </w:p>
    <w:p w:rsidR="000145D6" w:rsidRDefault="00B921ED">
      <w:pPr>
        <w:widowControl w:val="0"/>
        <w:autoSpaceDE w:val="0"/>
        <w:autoSpaceDN w:val="0"/>
        <w:adjustRightInd w:val="0"/>
        <w:jc w:val="both"/>
      </w:pPr>
      <w:r>
        <w:t>Methods:</w:t>
      </w:r>
      <w:r w:rsidR="000145D6">
        <w:t xml:space="preserve"> </w:t>
      </w:r>
      <w:r>
        <w:t xml:space="preserve">Platelet function assays were performed in 531 consecutive patients presenting to the hospital with chest pain as per chest pain center protocol if they were on </w:t>
      </w:r>
      <w:proofErr w:type="spellStart"/>
      <w:r>
        <w:t>clopidogrel</w:t>
      </w:r>
      <w:proofErr w:type="spellEnd"/>
      <w:r>
        <w:t xml:space="preserve"> and aspirin a</w:t>
      </w:r>
      <w:r w:rsidR="000145D6">
        <w:t xml:space="preserve">fter coronary artery stenting. </w:t>
      </w:r>
      <w:r>
        <w:t>Multivariable logistic regression analysis was performed to evaluate the r</w:t>
      </w:r>
      <w:r w:rsidR="000145D6">
        <w:t xml:space="preserve">ole of age and gender. </w:t>
      </w:r>
      <w:r>
        <w:t xml:space="preserve">Patients were </w:t>
      </w:r>
      <w:proofErr w:type="spellStart"/>
      <w:r>
        <w:t>labelled</w:t>
      </w:r>
      <w:proofErr w:type="spellEnd"/>
      <w:r>
        <w:t xml:space="preserve"> </w:t>
      </w:r>
      <w:proofErr w:type="spellStart"/>
      <w:r>
        <w:t>hyporesponders</w:t>
      </w:r>
      <w:proofErr w:type="spellEnd"/>
      <w:r>
        <w:t xml:space="preserve"> if they had P2Y12 Reaction Units (PRU) </w:t>
      </w:r>
      <w:r w:rsidRPr="000145D6">
        <w:rPr>
          <w:highlight w:val="yellow"/>
        </w:rPr>
        <w:t>¡Ý 230</w:t>
      </w:r>
      <w:r>
        <w:t>.</w:t>
      </w:r>
    </w:p>
    <w:p w:rsidR="000145D6" w:rsidRDefault="00B921ED">
      <w:pPr>
        <w:widowControl w:val="0"/>
        <w:autoSpaceDE w:val="0"/>
        <w:autoSpaceDN w:val="0"/>
        <w:adjustRightInd w:val="0"/>
        <w:jc w:val="both"/>
      </w:pPr>
      <w:r>
        <w:t>Results:</w:t>
      </w:r>
      <w:r w:rsidR="000145D6">
        <w:t xml:space="preserve"> </w:t>
      </w:r>
      <w:r>
        <w:t xml:space="preserve">Out of 531 patients, 221 (41.6%) had PRU </w:t>
      </w:r>
      <w:r w:rsidRPr="000145D6">
        <w:rPr>
          <w:highlight w:val="yellow"/>
        </w:rPr>
        <w:t>¡Ý 230</w:t>
      </w:r>
      <w:r w:rsidR="000145D6">
        <w:t xml:space="preserve">. </w:t>
      </w:r>
      <w:r>
        <w:t xml:space="preserve">A multivariable logistic regression model was fitted to determine the relationship between </w:t>
      </w:r>
      <w:proofErr w:type="spellStart"/>
      <w:r>
        <w:t>clopidogrel</w:t>
      </w:r>
      <w:proofErr w:type="spellEnd"/>
      <w:r>
        <w:t xml:space="preserve"> </w:t>
      </w:r>
      <w:proofErr w:type="spellStart"/>
      <w:r>
        <w:t>hyporesponsiveness</w:t>
      </w:r>
      <w:proofErr w:type="spellEnd"/>
      <w:r>
        <w:t xml:space="preserve"> and several potential risk factors, including gender and age.  There was a greater risk of </w:t>
      </w:r>
      <w:proofErr w:type="spellStart"/>
      <w:r>
        <w:t>Hyporesponsivenes</w:t>
      </w:r>
      <w:proofErr w:type="spellEnd"/>
      <w:r>
        <w:t xml:space="preserve"> among women than men (adjusted odds ratio, AOR=1.813, p=0.002) and a greater risk of </w:t>
      </w:r>
      <w:proofErr w:type="spellStart"/>
      <w:r>
        <w:t>Hyporesponsivenes</w:t>
      </w:r>
      <w:proofErr w:type="spellEnd"/>
      <w:r>
        <w:t xml:space="preserve"> with increased age (AOR=1.167 per decade, p=0.058).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Conclusions: Because of their higher odds of </w:t>
      </w:r>
      <w:proofErr w:type="spellStart"/>
      <w:r>
        <w:t>hyporesponsiveness</w:t>
      </w:r>
      <w:proofErr w:type="spellEnd"/>
      <w:r>
        <w:t xml:space="preserve"> to </w:t>
      </w:r>
      <w:proofErr w:type="spellStart"/>
      <w:r>
        <w:t>clopidogrel</w:t>
      </w:r>
      <w:proofErr w:type="spellEnd"/>
      <w:r>
        <w:t>, consideration should be given to genetic testing or platelet function testing after DES in women and/or older patients.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3D3E53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38" w:rsidRDefault="00797B38" w:rsidP="00797B38">
      <w:r>
        <w:separator/>
      </w:r>
    </w:p>
  </w:endnote>
  <w:endnote w:type="continuationSeparator" w:id="0">
    <w:p w:rsidR="00797B38" w:rsidRDefault="00797B38" w:rsidP="0079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38" w:rsidRDefault="00797B38" w:rsidP="00797B38">
      <w:r>
        <w:separator/>
      </w:r>
    </w:p>
  </w:footnote>
  <w:footnote w:type="continuationSeparator" w:id="0">
    <w:p w:rsidR="00797B38" w:rsidRDefault="00797B38" w:rsidP="0079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38" w:rsidRDefault="00797B38" w:rsidP="00797B38">
    <w:pPr>
      <w:pStyle w:val="Header"/>
    </w:pPr>
    <w:r>
      <w:t>1527, oral, cat: 18</w:t>
    </w:r>
  </w:p>
  <w:p w:rsidR="00797B38" w:rsidRDefault="00797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145D6"/>
    <w:rsid w:val="003D3E53"/>
    <w:rsid w:val="00447B2F"/>
    <w:rsid w:val="00797B38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B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7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B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B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7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B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6B097F61</Template>
  <TotalTime>1</TotalTime>
  <Pages>1</Pages>
  <Words>271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2012-05-09T13:04:00Z</dcterms:created>
  <dcterms:modified xsi:type="dcterms:W3CDTF">2012-05-09T13:04:00Z</dcterms:modified>
</cp:coreProperties>
</file>